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7C" w:rsidRDefault="000509C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 xml:space="preserve">Archipiélago Inolvidable </w:t>
      </w:r>
      <w:r>
        <w:rPr>
          <w:rFonts w:ascii="Times New Roman" w:eastAsia="Times New Roman" w:hAnsi="Times New Roman" w:cs="Times New Roman"/>
          <w:color w:val="000000"/>
        </w:rPr>
        <w:br/>
      </w:r>
      <w:r>
        <w:rPr>
          <w:rFonts w:ascii="Times New Roman" w:eastAsia="Times New Roman" w:hAnsi="Times New Roman" w:cs="Times New Roman"/>
          <w:b/>
          <w:color w:val="000000"/>
          <w:sz w:val="28"/>
          <w:szCs w:val="28"/>
        </w:rPr>
        <w:t>11 días / 10 noches</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4"/>
          <w:szCs w:val="24"/>
        </w:rPr>
        <w:t xml:space="preserve">Precio DESDE </w:t>
      </w:r>
      <w:r>
        <w:rPr>
          <w:rFonts w:ascii="Times New Roman" w:eastAsia="Times New Roman" w:hAnsi="Times New Roman" w:cs="Times New Roman"/>
          <w:b/>
          <w:color w:val="000000"/>
          <w:sz w:val="28"/>
          <w:szCs w:val="28"/>
        </w:rPr>
        <w:t>USD 2.669</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r>
        <w:rPr>
          <w:rFonts w:ascii="Times New Roman" w:eastAsia="Times New Roman" w:hAnsi="Times New Roman" w:cs="Times New Roman"/>
          <w:color w:val="000000"/>
        </w:rPr>
        <w:t>.</w:t>
      </w:r>
    </w:p>
    <w:p w:rsidR="00FC2814" w:rsidRDefault="0032697C" w:rsidP="0032697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32697C">
        <w:rPr>
          <w:rFonts w:ascii="Times New Roman" w:eastAsia="Times New Roman" w:hAnsi="Times New Roman" w:cs="Times New Roman"/>
          <w:i/>
          <w:color w:val="000000"/>
          <w:sz w:val="18"/>
        </w:rPr>
        <w:t>(Consulte la tarifa que aplique para la fecha de su interés)</w:t>
      </w:r>
      <w:r w:rsidR="000509C6">
        <w:rPr>
          <w:rFonts w:ascii="Times New Roman" w:eastAsia="Times New Roman" w:hAnsi="Times New Roman" w:cs="Times New Roman"/>
          <w:color w:val="000000"/>
        </w:rPr>
        <w:br/>
      </w:r>
      <w:r w:rsidR="000509C6">
        <w:rPr>
          <w:rFonts w:ascii="Times New Roman" w:eastAsia="Times New Roman" w:hAnsi="Times New Roman" w:cs="Times New Roman"/>
          <w:b/>
          <w:color w:val="000000"/>
        </w:rPr>
        <w:t>Visitando:</w:t>
      </w:r>
      <w:r w:rsidR="000509C6">
        <w:rPr>
          <w:rFonts w:ascii="Times New Roman" w:eastAsia="Times New Roman" w:hAnsi="Times New Roman" w:cs="Times New Roman"/>
          <w:color w:val="000000"/>
        </w:rPr>
        <w:t xml:space="preserve"> Atenas – </w:t>
      </w:r>
      <w:proofErr w:type="spellStart"/>
      <w:r w:rsidR="000509C6">
        <w:rPr>
          <w:rFonts w:ascii="Times New Roman" w:eastAsia="Times New Roman" w:hAnsi="Times New Roman" w:cs="Times New Roman"/>
          <w:color w:val="000000"/>
        </w:rPr>
        <w:t>Mykonos</w:t>
      </w:r>
      <w:proofErr w:type="spellEnd"/>
      <w:r w:rsidR="000509C6">
        <w:rPr>
          <w:rFonts w:ascii="Times New Roman" w:eastAsia="Times New Roman" w:hAnsi="Times New Roman" w:cs="Times New Roman"/>
          <w:color w:val="000000"/>
        </w:rPr>
        <w:t xml:space="preserve"> – </w:t>
      </w:r>
      <w:proofErr w:type="spellStart"/>
      <w:r w:rsidR="000509C6">
        <w:rPr>
          <w:rFonts w:ascii="Times New Roman" w:eastAsia="Times New Roman" w:hAnsi="Times New Roman" w:cs="Times New Roman"/>
          <w:color w:val="000000"/>
        </w:rPr>
        <w:t>Santorini</w:t>
      </w:r>
      <w:proofErr w:type="spellEnd"/>
      <w:r w:rsidR="000509C6">
        <w:rPr>
          <w:rFonts w:ascii="Times New Roman" w:eastAsia="Times New Roman" w:hAnsi="Times New Roman" w:cs="Times New Roman"/>
          <w:color w:val="000000"/>
        </w:rPr>
        <w:t xml:space="preserve"> – Creta – Rodas – Atenas.</w:t>
      </w:r>
    </w:p>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Salidas diarias: </w:t>
      </w:r>
      <w:r w:rsidR="00CE5309">
        <w:rPr>
          <w:rFonts w:ascii="Times New Roman" w:eastAsia="Times New Roman" w:hAnsi="Times New Roman" w:cs="Times New Roman"/>
          <w:b/>
          <w:color w:val="000000"/>
        </w:rPr>
        <w:t>h</w:t>
      </w:r>
      <w:bookmarkStart w:id="0" w:name="_GoBack"/>
      <w:bookmarkEnd w:id="0"/>
      <w:r w:rsidR="00CE5309">
        <w:rPr>
          <w:rFonts w:ascii="Times New Roman" w:eastAsia="Times New Roman" w:hAnsi="Times New Roman" w:cs="Times New Roman"/>
          <w:b/>
          <w:color w:val="000000"/>
        </w:rPr>
        <w:t>asta el</w:t>
      </w:r>
      <w:r>
        <w:rPr>
          <w:rFonts w:ascii="Times New Roman" w:eastAsia="Times New Roman" w:hAnsi="Times New Roman" w:cs="Times New Roman"/>
          <w:b/>
          <w:color w:val="000000"/>
        </w:rPr>
        <w:t xml:space="preserve"> 15 de octubre de 2025.</w:t>
      </w:r>
    </w:p>
    <w:p w:rsidR="00FC2814" w:rsidRDefault="000509C6">
      <w:pPr>
        <w:pBdr>
          <w:top w:val="nil"/>
          <w:left w:val="nil"/>
          <w:bottom w:val="nil"/>
          <w:right w:val="nil"/>
          <w:between w:val="nil"/>
        </w:pBdr>
        <w:jc w:val="center"/>
        <w:rPr>
          <w:rFonts w:ascii="Times New Roman" w:eastAsia="Times New Roman" w:hAnsi="Times New Roman" w:cs="Times New Roman"/>
        </w:rPr>
      </w:pPr>
      <w:r>
        <w:rPr>
          <w:noProof/>
          <w:lang w:val="en-US"/>
        </w:rPr>
        <w:drawing>
          <wp:inline distT="0" distB="0" distL="0" distR="0">
            <wp:extent cx="4715071" cy="1806254"/>
            <wp:effectExtent l="0" t="0" r="0" b="0"/>
            <wp:docPr id="1634144264" name="image2.jpg" descr="Aerial view of a coastal area with shallow waters, long sandy beach with some umbrellas and a small island near the beach."/>
            <wp:cNvGraphicFramePr/>
            <a:graphic xmlns:a="http://schemas.openxmlformats.org/drawingml/2006/main">
              <a:graphicData uri="http://schemas.openxmlformats.org/drawingml/2006/picture">
                <pic:pic xmlns:pic="http://schemas.openxmlformats.org/drawingml/2006/picture">
                  <pic:nvPicPr>
                    <pic:cNvPr id="0" name="image2.jpg" descr="Aerial view of a coastal area with shallow waters, long sandy beach with some umbrellas and a small island near the beach."/>
                    <pic:cNvPicPr preferRelativeResize="0"/>
                  </pic:nvPicPr>
                  <pic:blipFill>
                    <a:blip r:embed="rId8"/>
                    <a:srcRect l="3631" t="7869" r="2210" b="8559"/>
                    <a:stretch>
                      <a:fillRect/>
                    </a:stretch>
                  </pic:blipFill>
                  <pic:spPr>
                    <a:xfrm>
                      <a:off x="0" y="0"/>
                      <a:ext cx="4715071" cy="1806254"/>
                    </a:xfrm>
                    <a:prstGeom prst="rect">
                      <a:avLst/>
                    </a:prstGeom>
                    <a:ln/>
                  </pic:spPr>
                </pic:pic>
              </a:graphicData>
            </a:graphic>
          </wp:inline>
        </w:drawing>
      </w:r>
    </w:p>
    <w:p w:rsidR="00FC2814" w:rsidRDefault="000509C6">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w:t>
      </w:r>
      <w:r>
        <w:rPr>
          <w:rFonts w:ascii="Times New Roman" w:eastAsia="Times New Roman" w:hAnsi="Times New Roman" w:cs="Times New Roman"/>
          <w:b/>
        </w:rPr>
        <w:t>DE VIAJE</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ATENAS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Internacional de Atenas. Trasladado a su hotel. Alojamiento. </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ATENAS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Hoy realizaremos la visita de la ciudad de la capital Helénica, Atenas, que nos permitirá observar el enorme contraste existente entre la capital de la Grecia clásica y la ciudad cosmopolita. En cuanto entre en la Acrópolis podrá admirar el Templ</w:t>
      </w:r>
      <w:r>
        <w:rPr>
          <w:rFonts w:ascii="Times New Roman" w:eastAsia="Times New Roman" w:hAnsi="Times New Roman" w:cs="Times New Roman"/>
          <w:color w:val="000000"/>
        </w:rPr>
        <w:t xml:space="preserve">o de Atenea Nike, los Propileos. La hermosa geometría del Partenón se desplegará ante sus ojos, el </w:t>
      </w:r>
      <w:proofErr w:type="spellStart"/>
      <w:r>
        <w:rPr>
          <w:rFonts w:ascii="Times New Roman" w:eastAsia="Times New Roman" w:hAnsi="Times New Roman" w:cs="Times New Roman"/>
          <w:color w:val="000000"/>
        </w:rPr>
        <w:t>Erection</w:t>
      </w:r>
      <w:proofErr w:type="spellEnd"/>
      <w:r>
        <w:rPr>
          <w:rFonts w:ascii="Times New Roman" w:eastAsia="Times New Roman" w:hAnsi="Times New Roman" w:cs="Times New Roman"/>
          <w:color w:val="000000"/>
        </w:rPr>
        <w:t xml:space="preserve">, con su renombrado pórtico de las Cariátides, el </w:t>
      </w:r>
      <w:proofErr w:type="spellStart"/>
      <w:r>
        <w:rPr>
          <w:rFonts w:ascii="Times New Roman" w:eastAsia="Times New Roman" w:hAnsi="Times New Roman" w:cs="Times New Roman"/>
          <w:color w:val="000000"/>
        </w:rPr>
        <w:t>Pandroseion</w:t>
      </w:r>
      <w:proofErr w:type="spellEnd"/>
      <w:r>
        <w:rPr>
          <w:rFonts w:ascii="Times New Roman" w:eastAsia="Times New Roman" w:hAnsi="Times New Roman" w:cs="Times New Roman"/>
          <w:color w:val="000000"/>
        </w:rPr>
        <w:t>. También realizaremos una visita panorámica del Templo de Zeus Olímpico, el Arco de Adr</w:t>
      </w:r>
      <w:r>
        <w:rPr>
          <w:rFonts w:ascii="Times New Roman" w:eastAsia="Times New Roman" w:hAnsi="Times New Roman" w:cs="Times New Roman"/>
          <w:color w:val="000000"/>
        </w:rPr>
        <w:t>iano, el Parlamento con la Tumba al Soldado Desconocido, los edificios neoclásicos de Universidad, Biblioteca y Academia, la Puerta de Adriano y la ciudad moderna de Atenas, el Palacio Real y el Estadio Olímpico donde se celebraron los primeros juegos Olím</w:t>
      </w:r>
      <w:r>
        <w:rPr>
          <w:rFonts w:ascii="Times New Roman" w:eastAsia="Times New Roman" w:hAnsi="Times New Roman" w:cs="Times New Roman"/>
          <w:color w:val="000000"/>
        </w:rPr>
        <w:t xml:space="preserve">picos modernos. Resto del día libre. </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ATENAS - MYKONOS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A la hora indicada, será trasladado al puerto para embarcar en el barco con destino a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A su llegada a la isla, traslado al hotel elegido. Alojamiento</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MYKO</w:t>
      </w:r>
      <w:r>
        <w:rPr>
          <w:rFonts w:ascii="Times New Roman" w:eastAsia="Times New Roman" w:hAnsi="Times New Roman" w:cs="Times New Roman"/>
          <w:b/>
          <w:color w:val="000000"/>
        </w:rPr>
        <w:t>NOS</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Día libre en la isla para disfrutar del sol, del mar con las playas maravillosas, así como la increíble vida nocturna de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Alojamiento</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MYKONOS – SANTORINI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será trasladado al puerto para embarcar e</w:t>
      </w:r>
      <w:r>
        <w:rPr>
          <w:rFonts w:ascii="Times New Roman" w:eastAsia="Times New Roman" w:hAnsi="Times New Roman" w:cs="Times New Roman"/>
          <w:color w:val="000000"/>
        </w:rPr>
        <w:t xml:space="preserve">n el catamarán con destino a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A su llegada a la isla, traslado al hotel elegido. Alojamiento.</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SANTORINI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Hoy podrán disfrutar la mágica isla de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creída por muchos como el Continente Perdido de la Atlántida. Excursión i</w:t>
      </w:r>
      <w:r>
        <w:rPr>
          <w:rFonts w:ascii="Times New Roman" w:eastAsia="Times New Roman" w:hAnsi="Times New Roman" w:cs="Times New Roman"/>
          <w:color w:val="000000"/>
        </w:rPr>
        <w:t xml:space="preserve">ncluida en su programa - a elegir entre crucerito tour regular por el volcán &amp; aguas termales y excursión tour regular en español por los puntos más destacados de la isla con degustación de vinos en uno de los </w:t>
      </w:r>
      <w:r>
        <w:rPr>
          <w:rFonts w:ascii="Times New Roman" w:eastAsia="Times New Roman" w:hAnsi="Times New Roman" w:cs="Times New Roman"/>
          <w:color w:val="000000"/>
        </w:rPr>
        <w:lastRenderedPageBreak/>
        <w:t>mejores viñedos de la isla. Esta excursión tou</w:t>
      </w:r>
      <w:r>
        <w:rPr>
          <w:rFonts w:ascii="Times New Roman" w:eastAsia="Times New Roman" w:hAnsi="Times New Roman" w:cs="Times New Roman"/>
          <w:color w:val="000000"/>
        </w:rPr>
        <w:t xml:space="preserve">r regular en español opera todos los </w:t>
      </w:r>
      <w:r>
        <w:rPr>
          <w:rFonts w:ascii="Times New Roman" w:eastAsia="Times New Roman" w:hAnsi="Times New Roman" w:cs="Times New Roman"/>
        </w:rPr>
        <w:t>días,</w:t>
      </w:r>
      <w:r>
        <w:rPr>
          <w:rFonts w:ascii="Times New Roman" w:eastAsia="Times New Roman" w:hAnsi="Times New Roman" w:cs="Times New Roman"/>
          <w:color w:val="000000"/>
        </w:rPr>
        <w:t xml:space="preserve"> excepto martes, jueves y sábados. Alojamiento.</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SANTORINI – CRETA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indicada, será trasladado al puerto para embarcar en el catamarán con destino a Heraclio (Creta). A su llegada a la isla, traslado al hotel elegido. Alojamiento. </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CRETA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Día libre para explorar esa hermosa isla, la ma</w:t>
      </w:r>
      <w:r>
        <w:rPr>
          <w:rFonts w:ascii="Times New Roman" w:eastAsia="Times New Roman" w:hAnsi="Times New Roman" w:cs="Times New Roman"/>
          <w:color w:val="000000"/>
        </w:rPr>
        <w:t xml:space="preserve">yor de las islas griegas. Las ciudades de Heraclio, Agios </w:t>
      </w:r>
      <w:proofErr w:type="spellStart"/>
      <w:r>
        <w:rPr>
          <w:rFonts w:ascii="Times New Roman" w:eastAsia="Times New Roman" w:hAnsi="Times New Roman" w:cs="Times New Roman"/>
          <w:color w:val="000000"/>
        </w:rPr>
        <w:t>Nikolaos</w:t>
      </w:r>
      <w:proofErr w:type="spellEnd"/>
      <w:r>
        <w:rPr>
          <w:rFonts w:ascii="Times New Roman" w:eastAsia="Times New Roman" w:hAnsi="Times New Roman" w:cs="Times New Roman"/>
          <w:color w:val="000000"/>
        </w:rPr>
        <w:t xml:space="preserve">, Réthimno, </w:t>
      </w:r>
      <w:proofErr w:type="spellStart"/>
      <w:r>
        <w:rPr>
          <w:rFonts w:ascii="Times New Roman" w:eastAsia="Times New Roman" w:hAnsi="Times New Roman" w:cs="Times New Roman"/>
          <w:color w:val="000000"/>
        </w:rPr>
        <w:t>Chania</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Elounda</w:t>
      </w:r>
      <w:proofErr w:type="spellEnd"/>
      <w:r>
        <w:rPr>
          <w:rFonts w:ascii="Times New Roman" w:eastAsia="Times New Roman" w:hAnsi="Times New Roman" w:cs="Times New Roman"/>
          <w:color w:val="000000"/>
        </w:rPr>
        <w:t xml:space="preserve">, son solamente una parte de las atracciones de Creta. Tesoros arqueológicos, ruinas y museos magníficos, playas </w:t>
      </w:r>
      <w:r>
        <w:rPr>
          <w:rFonts w:ascii="Times New Roman" w:eastAsia="Times New Roman" w:hAnsi="Times New Roman" w:cs="Times New Roman"/>
        </w:rPr>
        <w:t>espléndidas</w:t>
      </w:r>
      <w:r>
        <w:rPr>
          <w:rFonts w:ascii="Times New Roman" w:eastAsia="Times New Roman" w:hAnsi="Times New Roman" w:cs="Times New Roman"/>
          <w:color w:val="000000"/>
        </w:rPr>
        <w:t xml:space="preserve"> y restaurantes fabulosos hacen de Cre</w:t>
      </w:r>
      <w:r>
        <w:rPr>
          <w:rFonts w:ascii="Times New Roman" w:eastAsia="Times New Roman" w:hAnsi="Times New Roman" w:cs="Times New Roman"/>
          <w:color w:val="000000"/>
        </w:rPr>
        <w:t xml:space="preserve">ta un lugar completo para vacaciones. Alojamiento.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CRETA – RODAS</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será trasladado al aeropuerto para el vuelo con destino a Rodas. A su llegada a la isla, traslado al hotel elegido.</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RODAS</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Día libre en la hermosa isla de las rosas. Situada en la parte sudeste del </w:t>
      </w:r>
      <w:r>
        <w:rPr>
          <w:rFonts w:ascii="Times New Roman" w:eastAsia="Times New Roman" w:hAnsi="Times New Roman" w:cs="Times New Roman"/>
        </w:rPr>
        <w:t>Mediterráneo,</w:t>
      </w:r>
      <w:r>
        <w:rPr>
          <w:rFonts w:ascii="Times New Roman" w:eastAsia="Times New Roman" w:hAnsi="Times New Roman" w:cs="Times New Roman"/>
          <w:color w:val="000000"/>
        </w:rPr>
        <w:t xml:space="preserve"> es un sitio muy turístico, pero al mismo tiempo muy elegante, ofreciendo a sus visitantes una combinación de gran historia, playas maravillosas y una varieda</w:t>
      </w:r>
      <w:r>
        <w:rPr>
          <w:rFonts w:ascii="Times New Roman" w:eastAsia="Times New Roman" w:hAnsi="Times New Roman" w:cs="Times New Roman"/>
          <w:color w:val="000000"/>
        </w:rPr>
        <w:t>d de vida nocturna y compras fascinantes. Sobre todo, no pierda la oportunidad de admirar la Antigua ciudad medieval y el Castillo de los Caballeros.</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RODAS – ATENAS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será trasladado al aeropuerto para tomar el vuelo a</w:t>
      </w:r>
      <w:r>
        <w:rPr>
          <w:rFonts w:ascii="Times New Roman" w:eastAsia="Times New Roman" w:hAnsi="Times New Roman" w:cs="Times New Roman"/>
          <w:color w:val="000000"/>
        </w:rPr>
        <w:t xml:space="preserve"> Atenas y conexión con su vuelo internacional (vuelos no incluidos).</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FC2814" w:rsidRDefault="000509C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Atenas, 2 noches en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xml:space="preserve">, 2 noches en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2 noches en Creta y 2 noches en Rodas, en los hoteles previstos o similares, según la categoría escogida.</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de Atenas – Hotel, e</w:t>
      </w:r>
      <w:r>
        <w:rPr>
          <w:rFonts w:ascii="Times New Roman" w:eastAsia="Times New Roman" w:hAnsi="Times New Roman" w:cs="Times New Roman"/>
          <w:color w:val="000000"/>
        </w:rPr>
        <w:t xml:space="preserve">n horario diurno // Traslados Hotel en Atenas – Puerto // Puerto – Hotel – Puerto, en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xml:space="preserve"> // Puerto – Hotel – Puerto, en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 Puerto – </w:t>
      </w:r>
      <w:r>
        <w:rPr>
          <w:rFonts w:ascii="Times New Roman" w:eastAsia="Times New Roman" w:hAnsi="Times New Roman" w:cs="Times New Roman"/>
        </w:rPr>
        <w:t>Hotel,</w:t>
      </w:r>
      <w:r>
        <w:rPr>
          <w:rFonts w:ascii="Times New Roman" w:eastAsia="Times New Roman" w:hAnsi="Times New Roman" w:cs="Times New Roman"/>
          <w:color w:val="000000"/>
        </w:rPr>
        <w:t xml:space="preserve"> en Creta – Aeropuerto de Creta, en servicio compartido y en horario diurno.</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Billete de ferry </w:t>
      </w:r>
      <w:proofErr w:type="spellStart"/>
      <w:r>
        <w:rPr>
          <w:rFonts w:ascii="Times New Roman" w:eastAsia="Times New Roman" w:hAnsi="Times New Roman" w:cs="Times New Roman"/>
          <w:color w:val="000000"/>
        </w:rPr>
        <w:t>boat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Pire</w:t>
      </w:r>
      <w:r>
        <w:rPr>
          <w:rFonts w:ascii="Times New Roman" w:eastAsia="Times New Roman" w:hAnsi="Times New Roman" w:cs="Times New Roman"/>
          <w:color w:val="000000"/>
        </w:rPr>
        <w:t>o</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 Creta, en clase económica y con asiento </w:t>
      </w:r>
      <w:r>
        <w:rPr>
          <w:rFonts w:ascii="Times New Roman" w:eastAsia="Times New Roman" w:hAnsi="Times New Roman" w:cs="Times New Roman"/>
        </w:rPr>
        <w:t>numerado</w:t>
      </w:r>
      <w:r>
        <w:rPr>
          <w:rFonts w:ascii="Times New Roman" w:eastAsia="Times New Roman" w:hAnsi="Times New Roman" w:cs="Times New Roman"/>
          <w:color w:val="000000"/>
        </w:rPr>
        <w:t xml:space="preserve">. </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Billete aéreo Creta – Rodas // Rodas – Atenas, en clase turista, sin asignación de asiento. </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visita de medio día en Atenas, tour a elección en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(crucerito por Volcán &amp; aguas termales o tour por los principales puntos destacados de la isla), en servicio compartido. </w:t>
      </w:r>
    </w:p>
    <w:p w:rsidR="00FC2814" w:rsidRDefault="000509C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FC2814" w:rsidRDefault="00FC2814">
      <w:pPr>
        <w:pBdr>
          <w:top w:val="nil"/>
          <w:left w:val="nil"/>
          <w:bottom w:val="nil"/>
          <w:right w:val="nil"/>
          <w:between w:val="nil"/>
        </w:pBdr>
        <w:spacing w:after="0" w:line="240" w:lineRule="auto"/>
        <w:rPr>
          <w:color w:val="000000"/>
        </w:rPr>
      </w:pPr>
    </w:p>
    <w:p w:rsidR="00FC2814" w:rsidRDefault="000509C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FC2814" w:rsidRDefault="000509C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antes de las 12:00 m. (Horarios sujetos a cambio sin previo aviso y/o políticas estipuladas por los hoteles).</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w:t>
      </w:r>
      <w:r>
        <w:rPr>
          <w:rFonts w:ascii="Times New Roman" w:eastAsia="Times New Roman" w:hAnsi="Times New Roman" w:cs="Times New Roman"/>
          <w:color w:val="000000"/>
        </w:rPr>
        <w:t>eles, servicio a la habitación, etc.</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C2814" w:rsidRDefault="000509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FC2814" w:rsidRDefault="000509C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C2814" w:rsidRDefault="000509C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Tasas hoteleras para pago directo en los hoteles (Aprox. € 10 por noche, por habitación,</w:t>
      </w:r>
      <w:r>
        <w:rPr>
          <w:rFonts w:ascii="Times New Roman" w:eastAsia="Times New Roman" w:hAnsi="Times New Roman" w:cs="Times New Roman"/>
        </w:rPr>
        <w:t xml:space="preserve"> sujeto a cambio, sin previo aviso).</w:t>
      </w:r>
    </w:p>
    <w:p w:rsidR="00FC2814" w:rsidRDefault="000509C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FC2814" w:rsidRDefault="000509C6">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p w:rsidR="00FC2814" w:rsidRDefault="00FC281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779" w:type="dxa"/>
        <w:tblInd w:w="421" w:type="dxa"/>
        <w:tblLayout w:type="fixed"/>
        <w:tblLook w:val="0400" w:firstRow="0" w:lastRow="0" w:firstColumn="0" w:lastColumn="0" w:noHBand="0" w:noVBand="1"/>
      </w:tblPr>
      <w:tblGrid>
        <w:gridCol w:w="2858"/>
        <w:gridCol w:w="1251"/>
        <w:gridCol w:w="1134"/>
        <w:gridCol w:w="1134"/>
        <w:gridCol w:w="1134"/>
        <w:gridCol w:w="1134"/>
        <w:gridCol w:w="1134"/>
      </w:tblGrid>
      <w:tr w:rsidR="00FC2814">
        <w:trPr>
          <w:trHeight w:val="290"/>
        </w:trPr>
        <w:tc>
          <w:tcPr>
            <w:tcW w:w="9780" w:type="dxa"/>
            <w:gridSpan w:val="7"/>
            <w:tcBorders>
              <w:top w:val="single" w:sz="4" w:space="0" w:color="000000"/>
              <w:left w:val="single" w:sz="4" w:space="0" w:color="000000"/>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ARCHIPIÉLAGO INOLVIDABLE </w:t>
            </w:r>
          </w:p>
        </w:tc>
      </w:tr>
      <w:tr w:rsidR="00FC2814">
        <w:trPr>
          <w:trHeight w:val="290"/>
        </w:trPr>
        <w:tc>
          <w:tcPr>
            <w:tcW w:w="2859" w:type="dxa"/>
            <w:vMerge w:val="restart"/>
            <w:tcBorders>
              <w:top w:val="nil"/>
              <w:left w:val="single" w:sz="4" w:space="0" w:color="000000"/>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3519" w:type="dxa"/>
            <w:gridSpan w:val="3"/>
            <w:tcBorders>
              <w:top w:val="single" w:sz="4" w:space="0" w:color="000000"/>
              <w:left w:val="nil"/>
              <w:bottom w:val="single" w:sz="4" w:space="0" w:color="000000"/>
              <w:right w:val="nil"/>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Categoría Bronce</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Categoría plata</w:t>
            </w:r>
          </w:p>
        </w:tc>
      </w:tr>
      <w:tr w:rsidR="00FC2814">
        <w:trPr>
          <w:trHeight w:val="290"/>
        </w:trPr>
        <w:tc>
          <w:tcPr>
            <w:tcW w:w="2859" w:type="dxa"/>
            <w:vMerge/>
            <w:tcBorders>
              <w:top w:val="nil"/>
              <w:left w:val="single" w:sz="4" w:space="0" w:color="000000"/>
              <w:bottom w:val="single" w:sz="4" w:space="0" w:color="000000"/>
              <w:right w:val="single" w:sz="4" w:space="0" w:color="000000"/>
            </w:tcBorders>
            <w:shd w:val="clear" w:color="auto" w:fill="B4C6E7"/>
            <w:vAlign w:val="center"/>
          </w:tcPr>
          <w:p w:rsidR="00FC2814" w:rsidRDefault="00FC2814">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51" w:type="dxa"/>
            <w:tcBorders>
              <w:top w:val="nil"/>
              <w:left w:val="nil"/>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134" w:type="dxa"/>
            <w:tcBorders>
              <w:top w:val="nil"/>
              <w:left w:val="nil"/>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w:t>
            </w:r>
          </w:p>
        </w:tc>
        <w:tc>
          <w:tcPr>
            <w:tcW w:w="1134" w:type="dxa"/>
            <w:tcBorders>
              <w:top w:val="nil"/>
              <w:left w:val="nil"/>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Triple</w:t>
            </w:r>
          </w:p>
        </w:tc>
        <w:tc>
          <w:tcPr>
            <w:tcW w:w="1134" w:type="dxa"/>
            <w:tcBorders>
              <w:top w:val="nil"/>
              <w:left w:val="nil"/>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134" w:type="dxa"/>
            <w:tcBorders>
              <w:top w:val="nil"/>
              <w:left w:val="nil"/>
              <w:bottom w:val="single" w:sz="4" w:space="0" w:color="000000"/>
              <w:right w:val="single" w:sz="4" w:space="0" w:color="000000"/>
            </w:tcBorders>
            <w:shd w:val="clear" w:color="auto" w:fill="B4C6E7"/>
            <w:vAlign w:val="center"/>
          </w:tcPr>
          <w:p w:rsidR="00FC2814" w:rsidRDefault="000509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w:t>
            </w:r>
          </w:p>
        </w:tc>
        <w:tc>
          <w:tcPr>
            <w:tcW w:w="1134" w:type="dxa"/>
            <w:tcBorders>
              <w:top w:val="nil"/>
              <w:left w:val="nil"/>
              <w:bottom w:val="single" w:sz="4" w:space="0" w:color="000000"/>
              <w:right w:val="single" w:sz="4" w:space="0" w:color="000000"/>
            </w:tcBorders>
            <w:shd w:val="clear" w:color="auto" w:fill="B4C6E7"/>
            <w:vAlign w:val="center"/>
          </w:tcPr>
          <w:p w:rsidR="00FC2814" w:rsidRDefault="000509C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Triple</w:t>
            </w:r>
          </w:p>
        </w:tc>
      </w:tr>
      <w:tr w:rsidR="00FC2814">
        <w:trPr>
          <w:trHeight w:val="290"/>
        </w:trPr>
        <w:tc>
          <w:tcPr>
            <w:tcW w:w="2859" w:type="dxa"/>
            <w:tcBorders>
              <w:top w:val="nil"/>
              <w:left w:val="single" w:sz="4" w:space="0" w:color="000000"/>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Abril, mayo y octubre</w:t>
            </w:r>
          </w:p>
        </w:tc>
        <w:tc>
          <w:tcPr>
            <w:tcW w:w="1251"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3.749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USD 2.669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2.519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4.589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3.139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2.869</w:t>
            </w:r>
          </w:p>
        </w:tc>
      </w:tr>
      <w:tr w:rsidR="00FC2814">
        <w:trPr>
          <w:trHeight w:val="290"/>
        </w:trPr>
        <w:tc>
          <w:tcPr>
            <w:tcW w:w="2859" w:type="dxa"/>
            <w:tcBorders>
              <w:top w:val="nil"/>
              <w:left w:val="single" w:sz="4" w:space="0" w:color="000000"/>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Junio y septiembre</w:t>
            </w:r>
          </w:p>
        </w:tc>
        <w:tc>
          <w:tcPr>
            <w:tcW w:w="1251"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4.159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2.879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2.719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5.289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3.519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3.209</w:t>
            </w:r>
          </w:p>
        </w:tc>
      </w:tr>
      <w:tr w:rsidR="00FC2814">
        <w:trPr>
          <w:trHeight w:val="290"/>
        </w:trPr>
        <w:tc>
          <w:tcPr>
            <w:tcW w:w="2859" w:type="dxa"/>
            <w:tcBorders>
              <w:top w:val="nil"/>
              <w:left w:val="single" w:sz="4" w:space="0" w:color="000000"/>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 y agosto</w:t>
            </w:r>
          </w:p>
        </w:tc>
        <w:tc>
          <w:tcPr>
            <w:tcW w:w="1251"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4.659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3.139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2.969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5.579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3.679</w:t>
            </w:r>
          </w:p>
        </w:tc>
        <w:tc>
          <w:tcPr>
            <w:tcW w:w="1134" w:type="dxa"/>
            <w:tcBorders>
              <w:top w:val="nil"/>
              <w:left w:val="nil"/>
              <w:bottom w:val="single" w:sz="4" w:space="0" w:color="000000"/>
              <w:right w:val="single" w:sz="4" w:space="0" w:color="000000"/>
            </w:tcBorders>
            <w:shd w:val="clear" w:color="auto" w:fill="FFFFFF"/>
            <w:vAlign w:val="center"/>
          </w:tcPr>
          <w:p w:rsidR="00FC2814" w:rsidRDefault="000509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3.349</w:t>
            </w:r>
          </w:p>
        </w:tc>
      </w:tr>
    </w:tbl>
    <w:p w:rsidR="00FC2814" w:rsidRDefault="000509C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estimadas en USD (sujeto a cambio de acuerdo a la fluctuación del euro con relación al dólar), el pago total y/o</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 xml:space="preserve">depósitos se pueden realizar en pesos colombianos </w:t>
      </w:r>
      <w:r>
        <w:rPr>
          <w:rFonts w:ascii="Times New Roman" w:eastAsia="Times New Roman" w:hAnsi="Times New Roman" w:cs="Times New Roman"/>
          <w:i/>
          <w:color w:val="000000"/>
          <w:sz w:val="20"/>
          <w:szCs w:val="20"/>
        </w:rPr>
        <w:t>a la TRM del día antes de las 12:00 m. (transferencias después de mediodía se aplicará la TRM del día siguiente) / Acomodación triple uno de los pasajeros se aloja en un sofá cama o catre / Máximo de personas por habitación es de 3 personas (incluyendo niñ</w:t>
      </w:r>
      <w:r>
        <w:rPr>
          <w:rFonts w:ascii="Times New Roman" w:eastAsia="Times New Roman" w:hAnsi="Times New Roman" w:cs="Times New Roman"/>
          <w:i/>
          <w:color w:val="000000"/>
          <w:sz w:val="20"/>
          <w:szCs w:val="20"/>
        </w:rPr>
        <w:t xml:space="preserve">os) / Tarifa de niños, bajo petición (sujeto a disponibilidad). </w:t>
      </w:r>
    </w:p>
    <w:tbl>
      <w:tblPr>
        <w:tblStyle w:val="a4"/>
        <w:tblW w:w="8582" w:type="dxa"/>
        <w:jc w:val="center"/>
        <w:tblInd w:w="0" w:type="dxa"/>
        <w:tblLayout w:type="fixed"/>
        <w:tblLook w:val="0400" w:firstRow="0" w:lastRow="0" w:firstColumn="0" w:lastColumn="0" w:noHBand="0" w:noVBand="1"/>
      </w:tblPr>
      <w:tblGrid>
        <w:gridCol w:w="1288"/>
        <w:gridCol w:w="3573"/>
        <w:gridCol w:w="3721"/>
      </w:tblGrid>
      <w:tr w:rsidR="00FC2814">
        <w:trPr>
          <w:trHeight w:val="302"/>
          <w:jc w:val="center"/>
        </w:trPr>
        <w:tc>
          <w:tcPr>
            <w:tcW w:w="8582" w:type="dxa"/>
            <w:gridSpan w:val="3"/>
            <w:tcBorders>
              <w:top w:val="single" w:sz="4" w:space="0" w:color="000000"/>
              <w:left w:val="single" w:sz="4" w:space="0" w:color="000000"/>
              <w:bottom w:val="single" w:sz="4" w:space="0" w:color="000000"/>
              <w:right w:val="single" w:sz="4" w:space="0" w:color="000000"/>
            </w:tcBorders>
            <w:shd w:val="clear" w:color="auto" w:fill="B4C6E7"/>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FC2814">
        <w:trPr>
          <w:trHeight w:val="302"/>
          <w:jc w:val="center"/>
        </w:trPr>
        <w:tc>
          <w:tcPr>
            <w:tcW w:w="1288" w:type="dxa"/>
            <w:vMerge w:val="restart"/>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294" w:type="dxa"/>
            <w:gridSpan w:val="2"/>
            <w:tcBorders>
              <w:top w:val="single" w:sz="4" w:space="0" w:color="000000"/>
              <w:left w:val="nil"/>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FC2814">
        <w:trPr>
          <w:trHeight w:val="302"/>
          <w:jc w:val="center"/>
        </w:trPr>
        <w:tc>
          <w:tcPr>
            <w:tcW w:w="1288" w:type="dxa"/>
            <w:vMerge/>
            <w:tcBorders>
              <w:top w:val="nil"/>
              <w:left w:val="single" w:sz="4" w:space="0" w:color="000000"/>
              <w:bottom w:val="single" w:sz="4" w:space="0" w:color="000000"/>
              <w:right w:val="single" w:sz="4" w:space="0" w:color="000000"/>
            </w:tcBorders>
            <w:shd w:val="clear" w:color="auto" w:fill="auto"/>
            <w:vAlign w:val="center"/>
          </w:tcPr>
          <w:p w:rsidR="00FC2814" w:rsidRDefault="00FC2814">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3573"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Categoría Bronce</w:t>
            </w:r>
          </w:p>
        </w:tc>
        <w:tc>
          <w:tcPr>
            <w:tcW w:w="3721"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Categoría Plata</w:t>
            </w:r>
          </w:p>
        </w:tc>
      </w:tr>
      <w:tr w:rsidR="00FC2814" w:rsidRPr="0032697C">
        <w:trPr>
          <w:trHeight w:val="584"/>
          <w:jc w:val="center"/>
        </w:trPr>
        <w:tc>
          <w:tcPr>
            <w:tcW w:w="1288" w:type="dxa"/>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Atenas</w:t>
            </w:r>
          </w:p>
        </w:tc>
        <w:tc>
          <w:tcPr>
            <w:tcW w:w="3573" w:type="dxa"/>
            <w:tcBorders>
              <w:top w:val="nil"/>
              <w:left w:val="nil"/>
              <w:bottom w:val="single" w:sz="4" w:space="0" w:color="000000"/>
              <w:right w:val="single" w:sz="4" w:space="0" w:color="000000"/>
            </w:tcBorders>
            <w:shd w:val="clear" w:color="auto" w:fill="auto"/>
            <w:vAlign w:val="center"/>
          </w:tcPr>
          <w:p w:rsidR="00FC2814" w:rsidRPr="0032697C" w:rsidRDefault="000509C6">
            <w:pPr>
              <w:spacing w:after="0" w:line="240" w:lineRule="auto"/>
              <w:jc w:val="both"/>
              <w:rPr>
                <w:rFonts w:ascii="Times New Roman" w:eastAsia="Times New Roman" w:hAnsi="Times New Roman" w:cs="Times New Roman"/>
                <w:color w:val="000000"/>
                <w:lang w:val="en-US"/>
              </w:rPr>
            </w:pPr>
            <w:r w:rsidRPr="0032697C">
              <w:rPr>
                <w:rFonts w:ascii="Times New Roman" w:eastAsia="Times New Roman" w:hAnsi="Times New Roman" w:cs="Times New Roman"/>
                <w:color w:val="000000"/>
                <w:lang w:val="en-US"/>
              </w:rPr>
              <w:t xml:space="preserve">Jason Inn / Crystal City / Athenian </w:t>
            </w:r>
            <w:proofErr w:type="spellStart"/>
            <w:r w:rsidRPr="0032697C">
              <w:rPr>
                <w:rFonts w:ascii="Times New Roman" w:eastAsia="Times New Roman" w:hAnsi="Times New Roman" w:cs="Times New Roman"/>
                <w:color w:val="000000"/>
                <w:lang w:val="en-US"/>
              </w:rPr>
              <w:t>Montaza</w:t>
            </w:r>
            <w:proofErr w:type="spellEnd"/>
            <w:r w:rsidRPr="0032697C">
              <w:rPr>
                <w:rFonts w:ascii="Times New Roman" w:eastAsia="Times New Roman" w:hAnsi="Times New Roman" w:cs="Times New Roman"/>
                <w:color w:val="000000"/>
                <w:lang w:val="en-US"/>
              </w:rPr>
              <w:t>.</w:t>
            </w:r>
          </w:p>
        </w:tc>
        <w:tc>
          <w:tcPr>
            <w:tcW w:w="3721" w:type="dxa"/>
            <w:tcBorders>
              <w:top w:val="nil"/>
              <w:left w:val="nil"/>
              <w:bottom w:val="single" w:sz="4" w:space="0" w:color="000000"/>
              <w:right w:val="single" w:sz="4" w:space="0" w:color="000000"/>
            </w:tcBorders>
            <w:shd w:val="clear" w:color="auto" w:fill="auto"/>
            <w:vAlign w:val="center"/>
          </w:tcPr>
          <w:p w:rsidR="00FC2814" w:rsidRPr="0032697C" w:rsidRDefault="000509C6">
            <w:pPr>
              <w:spacing w:after="0" w:line="240" w:lineRule="auto"/>
              <w:jc w:val="both"/>
              <w:rPr>
                <w:rFonts w:ascii="Times New Roman" w:eastAsia="Times New Roman" w:hAnsi="Times New Roman" w:cs="Times New Roman"/>
                <w:color w:val="000000"/>
                <w:lang w:val="en-US"/>
              </w:rPr>
            </w:pPr>
            <w:r w:rsidRPr="0032697C">
              <w:rPr>
                <w:rFonts w:ascii="Times New Roman" w:eastAsia="Times New Roman" w:hAnsi="Times New Roman" w:cs="Times New Roman"/>
                <w:color w:val="000000"/>
                <w:lang w:val="en-US"/>
              </w:rPr>
              <w:t>Athenaeum Hotels / Stanley / Hilton Garden Inn.</w:t>
            </w:r>
          </w:p>
        </w:tc>
      </w:tr>
      <w:tr w:rsidR="00FC2814" w:rsidRPr="0032697C">
        <w:trPr>
          <w:trHeight w:val="584"/>
          <w:jc w:val="center"/>
        </w:trPr>
        <w:tc>
          <w:tcPr>
            <w:tcW w:w="1288" w:type="dxa"/>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Mykonos</w:t>
            </w:r>
            <w:proofErr w:type="spellEnd"/>
          </w:p>
        </w:tc>
        <w:tc>
          <w:tcPr>
            <w:tcW w:w="3573"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Mykonos</w:t>
            </w:r>
            <w:proofErr w:type="spellEnd"/>
            <w:r>
              <w:rPr>
                <w:rFonts w:ascii="Times New Roman" w:eastAsia="Times New Roman" w:hAnsi="Times New Roman" w:cs="Times New Roman"/>
                <w:color w:val="000000"/>
              </w:rPr>
              <w:t xml:space="preserve"> Beach / </w:t>
            </w:r>
            <w:proofErr w:type="spellStart"/>
            <w:r>
              <w:rPr>
                <w:rFonts w:ascii="Times New Roman" w:eastAsia="Times New Roman" w:hAnsi="Times New Roman" w:cs="Times New Roman"/>
                <w:color w:val="000000"/>
              </w:rPr>
              <w:t>Pelican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Myconos</w:t>
            </w:r>
            <w:proofErr w:type="spellEnd"/>
            <w:r>
              <w:rPr>
                <w:rFonts w:ascii="Times New Roman" w:eastAsia="Times New Roman" w:hAnsi="Times New Roman" w:cs="Times New Roman"/>
                <w:color w:val="000000"/>
              </w:rPr>
              <w:t xml:space="preserve"> View </w:t>
            </w:r>
          </w:p>
        </w:tc>
        <w:tc>
          <w:tcPr>
            <w:tcW w:w="3721" w:type="dxa"/>
            <w:tcBorders>
              <w:top w:val="nil"/>
              <w:left w:val="nil"/>
              <w:bottom w:val="single" w:sz="4" w:space="0" w:color="000000"/>
              <w:right w:val="single" w:sz="4" w:space="0" w:color="000000"/>
            </w:tcBorders>
            <w:shd w:val="clear" w:color="auto" w:fill="auto"/>
            <w:vAlign w:val="center"/>
          </w:tcPr>
          <w:p w:rsidR="00FC2814" w:rsidRPr="0032697C" w:rsidRDefault="000509C6">
            <w:pPr>
              <w:spacing w:after="0" w:line="240" w:lineRule="auto"/>
              <w:jc w:val="both"/>
              <w:rPr>
                <w:rFonts w:ascii="Times New Roman" w:eastAsia="Times New Roman" w:hAnsi="Times New Roman" w:cs="Times New Roman"/>
                <w:color w:val="000000"/>
                <w:lang w:val="en-US"/>
              </w:rPr>
            </w:pPr>
            <w:proofErr w:type="spellStart"/>
            <w:r w:rsidRPr="0032697C">
              <w:rPr>
                <w:rFonts w:ascii="Times New Roman" w:eastAsia="Times New Roman" w:hAnsi="Times New Roman" w:cs="Times New Roman"/>
                <w:color w:val="000000"/>
                <w:lang w:val="en-US"/>
              </w:rPr>
              <w:t>Yiannaki</w:t>
            </w:r>
            <w:proofErr w:type="spellEnd"/>
            <w:r w:rsidRPr="0032697C">
              <w:rPr>
                <w:rFonts w:ascii="Times New Roman" w:eastAsia="Times New Roman" w:hAnsi="Times New Roman" w:cs="Times New Roman"/>
                <w:color w:val="000000"/>
                <w:lang w:val="en-US"/>
              </w:rPr>
              <w:t xml:space="preserve"> / Pelican Bay Art / </w:t>
            </w:r>
            <w:proofErr w:type="spellStart"/>
            <w:r w:rsidRPr="0032697C">
              <w:rPr>
                <w:rFonts w:ascii="Times New Roman" w:eastAsia="Times New Roman" w:hAnsi="Times New Roman" w:cs="Times New Roman"/>
                <w:color w:val="000000"/>
                <w:lang w:val="en-US"/>
              </w:rPr>
              <w:t>Manoulas</w:t>
            </w:r>
            <w:proofErr w:type="spellEnd"/>
            <w:r w:rsidRPr="0032697C">
              <w:rPr>
                <w:rFonts w:ascii="Times New Roman" w:eastAsia="Times New Roman" w:hAnsi="Times New Roman" w:cs="Times New Roman"/>
                <w:color w:val="000000"/>
                <w:lang w:val="en-US"/>
              </w:rPr>
              <w:t xml:space="preserve"> Beach.</w:t>
            </w:r>
          </w:p>
        </w:tc>
      </w:tr>
      <w:tr w:rsidR="00FC2814">
        <w:trPr>
          <w:trHeight w:val="584"/>
          <w:jc w:val="center"/>
        </w:trPr>
        <w:tc>
          <w:tcPr>
            <w:tcW w:w="1288" w:type="dxa"/>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Santorini</w:t>
            </w:r>
            <w:proofErr w:type="spellEnd"/>
          </w:p>
        </w:tc>
        <w:tc>
          <w:tcPr>
            <w:tcW w:w="3573"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Melina / </w:t>
            </w:r>
            <w:proofErr w:type="spellStart"/>
            <w:r>
              <w:rPr>
                <w:rFonts w:ascii="Times New Roman" w:eastAsia="Times New Roman" w:hAnsi="Times New Roman" w:cs="Times New Roman"/>
                <w:color w:val="000000"/>
              </w:rPr>
              <w:t>Kamari</w:t>
            </w:r>
            <w:proofErr w:type="spellEnd"/>
            <w:r>
              <w:rPr>
                <w:rFonts w:ascii="Times New Roman" w:eastAsia="Times New Roman" w:hAnsi="Times New Roman" w:cs="Times New Roman"/>
                <w:color w:val="000000"/>
              </w:rPr>
              <w:t xml:space="preserve"> Beach / </w:t>
            </w:r>
            <w:proofErr w:type="spellStart"/>
            <w:r>
              <w:rPr>
                <w:rFonts w:ascii="Times New Roman" w:eastAsia="Times New Roman" w:hAnsi="Times New Roman" w:cs="Times New Roman"/>
                <w:color w:val="000000"/>
              </w:rPr>
              <w:t>Nicolas</w:t>
            </w:r>
            <w:proofErr w:type="spellEnd"/>
            <w:r>
              <w:rPr>
                <w:rFonts w:ascii="Times New Roman" w:eastAsia="Times New Roman" w:hAnsi="Times New Roman" w:cs="Times New Roman"/>
                <w:color w:val="000000"/>
              </w:rPr>
              <w:t>.</w:t>
            </w:r>
          </w:p>
        </w:tc>
        <w:tc>
          <w:tcPr>
            <w:tcW w:w="3721"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Greco /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Palace /</w:t>
            </w:r>
            <w:proofErr w:type="spellStart"/>
            <w:r>
              <w:rPr>
                <w:rFonts w:ascii="Times New Roman" w:eastAsia="Times New Roman" w:hAnsi="Times New Roman" w:cs="Times New Roman"/>
                <w:color w:val="000000"/>
              </w:rPr>
              <w:t>Aegean</w:t>
            </w:r>
            <w:proofErr w:type="spellEnd"/>
            <w:r>
              <w:rPr>
                <w:rFonts w:ascii="Times New Roman" w:eastAsia="Times New Roman" w:hAnsi="Times New Roman" w:cs="Times New Roman"/>
                <w:color w:val="000000"/>
              </w:rPr>
              <w:t xml:space="preserve"> Plaza / Rose </w:t>
            </w:r>
            <w:proofErr w:type="spellStart"/>
            <w:r>
              <w:rPr>
                <w:rFonts w:ascii="Times New Roman" w:eastAsia="Times New Roman" w:hAnsi="Times New Roman" w:cs="Times New Roman"/>
                <w:color w:val="000000"/>
              </w:rPr>
              <w:t>Bay</w:t>
            </w:r>
            <w:proofErr w:type="spellEnd"/>
            <w:r>
              <w:rPr>
                <w:rFonts w:ascii="Times New Roman" w:eastAsia="Times New Roman" w:hAnsi="Times New Roman" w:cs="Times New Roman"/>
                <w:color w:val="000000"/>
              </w:rPr>
              <w:t>.</w:t>
            </w:r>
          </w:p>
        </w:tc>
      </w:tr>
      <w:tr w:rsidR="00FC2814">
        <w:trPr>
          <w:trHeight w:val="302"/>
          <w:jc w:val="center"/>
        </w:trPr>
        <w:tc>
          <w:tcPr>
            <w:tcW w:w="1288" w:type="dxa"/>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Creta </w:t>
            </w:r>
          </w:p>
        </w:tc>
        <w:tc>
          <w:tcPr>
            <w:tcW w:w="3573"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Olympic</w:t>
            </w:r>
            <w:proofErr w:type="spellEnd"/>
          </w:p>
        </w:tc>
        <w:tc>
          <w:tcPr>
            <w:tcW w:w="3721"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Ibys</w:t>
            </w:r>
            <w:proofErr w:type="spellEnd"/>
            <w:r>
              <w:rPr>
                <w:rFonts w:ascii="Times New Roman" w:eastAsia="Times New Roman" w:hAnsi="Times New Roman" w:cs="Times New Roman"/>
                <w:color w:val="000000"/>
              </w:rPr>
              <w:t xml:space="preserve"> Style</w:t>
            </w:r>
          </w:p>
        </w:tc>
      </w:tr>
      <w:tr w:rsidR="00FC2814">
        <w:trPr>
          <w:trHeight w:val="302"/>
          <w:jc w:val="center"/>
        </w:trPr>
        <w:tc>
          <w:tcPr>
            <w:tcW w:w="1288" w:type="dxa"/>
            <w:tcBorders>
              <w:top w:val="nil"/>
              <w:left w:val="single" w:sz="4" w:space="0" w:color="000000"/>
              <w:bottom w:val="single" w:sz="4" w:space="0" w:color="000000"/>
              <w:right w:val="single" w:sz="4" w:space="0" w:color="000000"/>
            </w:tcBorders>
            <w:shd w:val="clear" w:color="auto" w:fill="auto"/>
            <w:vAlign w:val="center"/>
          </w:tcPr>
          <w:p w:rsidR="00FC2814" w:rsidRDefault="000509C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Rodas</w:t>
            </w:r>
          </w:p>
        </w:tc>
        <w:tc>
          <w:tcPr>
            <w:tcW w:w="3573"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Astron</w:t>
            </w:r>
            <w:proofErr w:type="spellEnd"/>
            <w:r>
              <w:rPr>
                <w:rFonts w:ascii="Times New Roman" w:eastAsia="Times New Roman" w:hAnsi="Times New Roman" w:cs="Times New Roman"/>
                <w:color w:val="000000"/>
              </w:rPr>
              <w:t xml:space="preserve"> </w:t>
            </w:r>
          </w:p>
        </w:tc>
        <w:tc>
          <w:tcPr>
            <w:tcW w:w="3721" w:type="dxa"/>
            <w:tcBorders>
              <w:top w:val="nil"/>
              <w:left w:val="nil"/>
              <w:bottom w:val="single" w:sz="4" w:space="0" w:color="000000"/>
              <w:right w:val="single" w:sz="4" w:space="0" w:color="000000"/>
            </w:tcBorders>
            <w:shd w:val="clear" w:color="auto" w:fill="auto"/>
            <w:vAlign w:val="center"/>
          </w:tcPr>
          <w:p w:rsidR="00FC2814" w:rsidRDefault="000509C6">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Semiramis</w:t>
            </w:r>
            <w:proofErr w:type="spellEnd"/>
            <w:r>
              <w:rPr>
                <w:rFonts w:ascii="Times New Roman" w:eastAsia="Times New Roman" w:hAnsi="Times New Roman" w:cs="Times New Roman"/>
                <w:color w:val="000000"/>
              </w:rPr>
              <w:t xml:space="preserve"> / Elite</w:t>
            </w:r>
          </w:p>
        </w:tc>
      </w:tr>
    </w:tbl>
    <w:p w:rsidR="00FC2814" w:rsidRDefault="00FC2814">
      <w:pPr>
        <w:pBdr>
          <w:top w:val="nil"/>
          <w:left w:val="nil"/>
          <w:bottom w:val="nil"/>
          <w:right w:val="nil"/>
          <w:between w:val="nil"/>
        </w:pBdr>
        <w:spacing w:after="0" w:line="240" w:lineRule="auto"/>
        <w:rPr>
          <w:color w:val="000000"/>
        </w:rPr>
      </w:pPr>
    </w:p>
    <w:p w:rsidR="00FC2814" w:rsidRDefault="000509C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FC2814" w:rsidRDefault="000509C6">
      <w:pPr>
        <w:numPr>
          <w:ilvl w:val="0"/>
          <w:numId w:val="3"/>
        </w:numPr>
        <w:spacing w:after="0" w:line="240" w:lineRule="auto"/>
        <w:jc w:val="both"/>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FC2814" w:rsidRDefault="000509C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Tarifas sujetas a cambio de acuerdo a la fluctuación del euro con relación al dólar.</w:t>
      </w:r>
    </w:p>
    <w:p w:rsidR="00FC2814" w:rsidRDefault="000509C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FC2814" w:rsidRDefault="000509C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w:t>
      </w:r>
      <w:r>
        <w:rPr>
          <w:rFonts w:ascii="Times New Roman" w:eastAsia="Times New Roman" w:hAnsi="Times New Roman" w:cs="Times New Roman"/>
          <w:color w:val="000000"/>
        </w:rPr>
        <w:t xml:space="preserve"> afecten las tarifas hoteleras y los demás servicios ofrecidos por Volando Viajes, pueden sufrir variación en cualquier momento por las disposiciones gubernamentales y estas serán informadas a las agencias de viajes para su respectivo pago. Volando Viajes </w:t>
      </w:r>
      <w:r>
        <w:rPr>
          <w:rFonts w:ascii="Times New Roman" w:eastAsia="Times New Roman" w:hAnsi="Times New Roman" w:cs="Times New Roman"/>
          <w:color w:val="000000"/>
        </w:rPr>
        <w:t>no se hace responsable de las mismas. </w:t>
      </w:r>
    </w:p>
    <w:p w:rsidR="00FC2814" w:rsidRDefault="000509C6">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w:t>
      </w:r>
      <w:r>
        <w:rPr>
          <w:rFonts w:ascii="Times New Roman" w:eastAsia="Times New Roman" w:hAnsi="Times New Roman" w:cs="Times New Roman"/>
          <w:color w:val="000000"/>
        </w:rPr>
        <w:t>olando Viajes Colombia no se hace responsable. </w:t>
      </w:r>
    </w:p>
    <w:p w:rsidR="00FC2814" w:rsidRDefault="000509C6">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FC2814" w:rsidRDefault="000509C6">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w:t>
      </w:r>
      <w:r>
        <w:rPr>
          <w:rFonts w:ascii="Times New Roman" w:eastAsia="Times New Roman" w:hAnsi="Times New Roman" w:cs="Times New Roman"/>
          <w:color w:val="000000"/>
        </w:rPr>
        <w:t>os incluidos dentro de este programa y que no sean tomados, no son reembolsables.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w:t>
      </w:r>
      <w:r>
        <w:rPr>
          <w:rFonts w:ascii="Times New Roman" w:eastAsia="Times New Roman" w:hAnsi="Times New Roman" w:cs="Times New Roman"/>
          <w:color w:val="000000"/>
        </w:rPr>
        <w:t>arse a la hora estipulada, se considera como No Show y cualquier gasto o traslado en que el pasajero incurra, el operador ni Volando Viajes serán responsables.</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máxima acomodación permitida es Doble + 1 CHD y/o Triple. No garantiza 3 camas individuales. </w:t>
      </w:r>
      <w:r>
        <w:rPr>
          <w:rFonts w:ascii="Times New Roman" w:eastAsia="Times New Roman" w:hAnsi="Times New Roman" w:cs="Times New Roman"/>
          <w:color w:val="000000"/>
        </w:rPr>
        <w:t>Pueden ser dos camas individuales o sencillas más un catre o sofá cama.</w:t>
      </w:r>
    </w:p>
    <w:p w:rsidR="00FC2814" w:rsidRDefault="000509C6">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alojamiento puede ser en los hoteles previs</w:t>
      </w:r>
      <w:r>
        <w:rPr>
          <w:rFonts w:ascii="Times New Roman" w:eastAsia="Times New Roman" w:hAnsi="Times New Roman" w:cs="Times New Roman"/>
          <w:color w:val="000000"/>
        </w:rPr>
        <w:t xml:space="preserve">tos o en hoteles similares. Los hoteles previstos en </w:t>
      </w:r>
      <w:proofErr w:type="spellStart"/>
      <w:r>
        <w:rPr>
          <w:rFonts w:ascii="Times New Roman" w:eastAsia="Times New Roman" w:hAnsi="Times New Roman" w:cs="Times New Roman"/>
          <w:color w:val="000000"/>
        </w:rPr>
        <w:t>Santorini</w:t>
      </w:r>
      <w:proofErr w:type="spellEnd"/>
      <w:r>
        <w:rPr>
          <w:rFonts w:ascii="Times New Roman" w:eastAsia="Times New Roman" w:hAnsi="Times New Roman" w:cs="Times New Roman"/>
          <w:color w:val="000000"/>
        </w:rPr>
        <w:t xml:space="preserve">, no se encuentran ubicados en el acantilado.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traslados incluidos son prestados por taxis contratados o </w:t>
      </w:r>
      <w:proofErr w:type="spellStart"/>
      <w:r>
        <w:rPr>
          <w:rFonts w:ascii="Times New Roman" w:eastAsia="Times New Roman" w:hAnsi="Times New Roman" w:cs="Times New Roman"/>
          <w:color w:val="000000"/>
        </w:rPr>
        <w:t>miniván</w:t>
      </w:r>
      <w:proofErr w:type="spellEnd"/>
      <w:r>
        <w:rPr>
          <w:rFonts w:ascii="Times New Roman" w:eastAsia="Times New Roman" w:hAnsi="Times New Roman" w:cs="Times New Roman"/>
          <w:color w:val="000000"/>
        </w:rPr>
        <w:t xml:space="preserve">, de acuerdo al número de personas confirmada en el circuito o trayecto.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w:t>
      </w:r>
      <w:r>
        <w:rPr>
          <w:rFonts w:ascii="Times New Roman" w:eastAsia="Times New Roman" w:hAnsi="Times New Roman" w:cs="Times New Roman"/>
          <w:color w:val="000000"/>
        </w:rPr>
        <w:t>quier cancelación, modificación o retrasos que se presenten en el transporte aéreo es responsabilidad de la aerolínea, Volando Viajes Colombia y la agencia de viajes no se hacen responsables ante el usuario o pasajero.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w:t>
      </w:r>
      <w:r>
        <w:rPr>
          <w:rFonts w:ascii="Times New Roman" w:eastAsia="Times New Roman" w:hAnsi="Times New Roman" w:cs="Times New Roman"/>
          <w:color w:val="000000"/>
        </w:rPr>
        <w:t xml:space="preserve"> las fechas estipuladas aún con depósito, no se garantiza el cupo del paquete turístico y se perderá el cupo reservado, aplicando las políticas de pagos y cancelaciones. </w:t>
      </w:r>
    </w:p>
    <w:p w:rsidR="00FC2814" w:rsidRDefault="00050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w:t>
      </w:r>
      <w:r>
        <w:rPr>
          <w:rFonts w:ascii="Times New Roman" w:eastAsia="Times New Roman" w:hAnsi="Times New Roman" w:cs="Times New Roman"/>
          <w:color w:val="000000"/>
        </w:rPr>
        <w:t>to especial, la agencia de viajes deberá notificarlo hasta con 45 días de antelación a la fecha de viaje, con el fin de gestionar oportunamente con los proveedores correspondientes.</w:t>
      </w:r>
    </w:p>
    <w:p w:rsidR="00FC2814" w:rsidRDefault="00FC2814">
      <w:pPr>
        <w:pBdr>
          <w:top w:val="nil"/>
          <w:left w:val="nil"/>
          <w:bottom w:val="nil"/>
          <w:right w:val="nil"/>
          <w:between w:val="nil"/>
        </w:pBdr>
        <w:spacing w:after="0" w:line="240" w:lineRule="auto"/>
        <w:rPr>
          <w:color w:val="000000"/>
        </w:rPr>
      </w:pPr>
    </w:p>
    <w:p w:rsidR="00FC2814" w:rsidRDefault="000509C6">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FC2814" w:rsidRDefault="000509C6">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FC2814" w:rsidRDefault="000509C6">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FC2814" w:rsidRDefault="000509C6">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equipaje permitido en los vuelos internos es de 10 Kg por persona, el pasajero deberá pagar el exceso de equipaje directamente en el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la aerolínea en el aeropuerto (Las tarifas le serán informadas </w:t>
      </w:r>
      <w:r>
        <w:rPr>
          <w:rFonts w:ascii="Times New Roman" w:eastAsia="Times New Roman" w:hAnsi="Times New Roman" w:cs="Times New Roman"/>
          <w:color w:val="000000"/>
        </w:rPr>
        <w:t xml:space="preserve">por los agentes del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w:t>
      </w:r>
    </w:p>
    <w:p w:rsidR="00FC2814" w:rsidRDefault="00FC2814">
      <w:pPr>
        <w:spacing w:after="0" w:line="240" w:lineRule="auto"/>
        <w:ind w:left="1440"/>
        <w:jc w:val="both"/>
        <w:rPr>
          <w:rFonts w:ascii="Times New Roman" w:eastAsia="Times New Roman" w:hAnsi="Times New Roman" w:cs="Times New Roman"/>
          <w:color w:val="000000"/>
        </w:rPr>
      </w:pPr>
    </w:p>
    <w:p w:rsidR="00FC2814" w:rsidRDefault="000509C6">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w:t>
      </w:r>
      <w:r>
        <w:rPr>
          <w:rFonts w:ascii="Times New Roman" w:eastAsia="Times New Roman" w:hAnsi="Times New Roman" w:cs="Times New Roman"/>
          <w:color w:val="000000"/>
        </w:rPr>
        <w:t>mite a los viajeros, nacionales y extranjeros que pretendan ingresar o salir de Colombia, precargar toda la información relacionada de su viaje.</w:t>
      </w:r>
    </w:p>
    <w:p w:rsidR="00FC2814" w:rsidRDefault="000509C6">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w:t>
      </w:r>
      <w:r>
        <w:rPr>
          <w:rFonts w:ascii="Times New Roman" w:eastAsia="Times New Roman" w:hAnsi="Times New Roman" w:cs="Times New Roman"/>
          <w:color w:val="000000"/>
        </w:rPr>
        <w:t xml:space="preserve">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w:t>
      </w:r>
      <w:r>
        <w:rPr>
          <w:rFonts w:ascii="Times New Roman" w:eastAsia="Times New Roman" w:hAnsi="Times New Roman" w:cs="Times New Roman"/>
          <w:color w:val="000000"/>
        </w:rPr>
        <w:t>idad correspondiente. </w:t>
      </w:r>
    </w:p>
    <w:p w:rsidR="00FC2814" w:rsidRDefault="000509C6">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FC2814" w:rsidRDefault="000509C6">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w:t>
      </w:r>
      <w:r>
        <w:rPr>
          <w:rFonts w:ascii="Times New Roman" w:eastAsia="Times New Roman" w:hAnsi="Times New Roman" w:cs="Times New Roman"/>
          <w:color w:val="000000"/>
        </w:rPr>
        <w:t xml:space="preserve">onsabilidad del pasajero y de la agencia de viajes vendedora revisar la documentación requerida para su viaje, tales como visado, permisos de salida para menores de edad, certificados de vacunación, entre </w:t>
      </w:r>
      <w:r>
        <w:rPr>
          <w:rFonts w:ascii="Times New Roman" w:eastAsia="Times New Roman" w:hAnsi="Times New Roman" w:cs="Times New Roman"/>
          <w:color w:val="000000"/>
        </w:rPr>
        <w:lastRenderedPageBreak/>
        <w:t>otros. Volando Viajes no se hace responsable en cas</w:t>
      </w:r>
      <w:r>
        <w:rPr>
          <w:rFonts w:ascii="Times New Roman" w:eastAsia="Times New Roman" w:hAnsi="Times New Roman" w:cs="Times New Roman"/>
          <w:color w:val="000000"/>
        </w:rPr>
        <w:t>o de ser negado el ingreso al destino por no cumplir con la documentación requerida en migración.</w:t>
      </w:r>
    </w:p>
    <w:p w:rsidR="00FC2814" w:rsidRDefault="000509C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w:t>
      </w:r>
      <w:r>
        <w:rPr>
          <w:rFonts w:ascii="Times New Roman" w:eastAsia="Times New Roman" w:hAnsi="Times New Roman" w:cs="Times New Roman"/>
          <w:color w:val="000000"/>
        </w:rPr>
        <w:t>os servicios contratados en el paquete de viaje se regirán por las siguientes condiciones:</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82 días o más de anticipación a la fecha de salida:</w:t>
      </w:r>
    </w:p>
    <w:p w:rsidR="00FC2814" w:rsidRDefault="000509C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FC2814" w:rsidRDefault="000509C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60 días anteriores a la fecha de salida.</w:t>
      </w:r>
    </w:p>
    <w:p w:rsidR="00FC2814" w:rsidRDefault="00FC2814">
      <w:pPr>
        <w:pBdr>
          <w:top w:val="nil"/>
          <w:left w:val="nil"/>
          <w:bottom w:val="nil"/>
          <w:right w:val="nil"/>
          <w:between w:val="nil"/>
        </w:pBdr>
        <w:spacing w:after="0" w:line="240" w:lineRule="auto"/>
        <w:ind w:left="1068"/>
        <w:jc w:val="both"/>
        <w:rPr>
          <w:rFonts w:ascii="Times New Roman" w:eastAsia="Times New Roman" w:hAnsi="Times New Roman" w:cs="Times New Roman"/>
          <w:color w:val="222222"/>
        </w:rPr>
      </w:pPr>
    </w:p>
    <w:p w:rsidR="00FC2814" w:rsidRDefault="000509C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Si se contrata con 59 días o menos de anticipación a la fecha de salida:</w:t>
      </w:r>
    </w:p>
    <w:p w:rsidR="00FC2814" w:rsidRDefault="000509C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FC2814" w:rsidRDefault="000509C6">
      <w:pPr>
        <w:pBdr>
          <w:top w:val="nil"/>
          <w:left w:val="nil"/>
          <w:bottom w:val="nil"/>
          <w:right w:val="nil"/>
          <w:between w:val="nil"/>
        </w:pBdr>
        <w:spacing w:after="0" w:line="240" w:lineRule="auto"/>
        <w:rPr>
          <w:color w:val="000000"/>
        </w:rPr>
      </w:pPr>
      <w:r>
        <w:rPr>
          <w:color w:val="000000"/>
        </w:rPr>
        <w:t>   </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C2814" w:rsidRDefault="000509C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FC2814" w:rsidRDefault="00FC281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C2814" w:rsidRDefault="000509C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w:t>
      </w:r>
      <w:r>
        <w:rPr>
          <w:rFonts w:ascii="Times New Roman" w:eastAsia="Times New Roman" w:hAnsi="Times New Roman" w:cs="Times New Roman"/>
          <w:color w:val="000000"/>
        </w:rPr>
        <w:t xml:space="preserve"> por cancelación del 30% sobre el valor total de la reserva. </w:t>
      </w:r>
    </w:p>
    <w:p w:rsidR="00FC2814" w:rsidRDefault="000509C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30 días antes de la fecha de salida, un cargo por cancelación del 50% sobre el valor total de la reserva.</w:t>
      </w:r>
    </w:p>
    <w:p w:rsidR="00FC2814" w:rsidRDefault="000509C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29 días anteriores a la fecha de salida, incluso el mismo día de l</w:t>
      </w:r>
      <w:r>
        <w:rPr>
          <w:rFonts w:ascii="Times New Roman" w:eastAsia="Times New Roman" w:hAnsi="Times New Roman" w:cs="Times New Roman"/>
          <w:color w:val="000000"/>
        </w:rPr>
        <w:t>a salida, un cargo por cancelación del 100%</w:t>
      </w:r>
    </w:p>
    <w:p w:rsidR="00FC2814" w:rsidRDefault="000509C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w:t>
      </w:r>
      <w:r>
        <w:rPr>
          <w:rFonts w:ascii="Times New Roman" w:eastAsia="Times New Roman" w:hAnsi="Times New Roman" w:cs="Times New Roman"/>
          <w:color w:val="000000"/>
        </w:rPr>
        <w:t>rvicios contratados por pasajero.</w:t>
      </w:r>
    </w:p>
    <w:p w:rsidR="00FC2814" w:rsidRDefault="00FC2814">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FC2814" w:rsidRDefault="000509C6">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w:t>
      </w:r>
      <w:r w:rsidR="00246FE2">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FC2814" w:rsidRDefault="00246FE2">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VOLANDO VIAJES</w:t>
      </w:r>
      <w:r w:rsidR="000509C6">
        <w:rPr>
          <w:rFonts w:ascii="Times New Roman" w:eastAsia="Times New Roman" w:hAnsi="Times New Roman" w:cs="Times New Roman"/>
          <w:b/>
          <w:color w:val="000000"/>
        </w:rPr>
        <w:t xml:space="preserve"> COLOMBIA SAS</w:t>
      </w:r>
      <w:r>
        <w:rPr>
          <w:rFonts w:ascii="Times New Roman" w:eastAsia="Times New Roman" w:hAnsi="Times New Roman" w:cs="Times New Roman"/>
          <w:b/>
          <w:color w:val="000000"/>
        </w:rPr>
        <w:t xml:space="preserve"> </w:t>
      </w:r>
      <w:r w:rsidR="000509C6">
        <w:rPr>
          <w:rFonts w:ascii="Times New Roman" w:eastAsia="Times New Roman" w:hAnsi="Times New Roman" w:cs="Times New Roman"/>
          <w:b/>
          <w:color w:val="000000"/>
        </w:rPr>
        <w:t>– RNT 147864, está comprometido con la ley 679 de 2001 (ESCNNA) “La explotación y abuso de menores de edad son sancionados con pena privativa de la libertad”; Está prohibido el tráfico y comercialización de f</w:t>
      </w:r>
      <w:r w:rsidR="000509C6">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w:t>
      </w:r>
      <w:r w:rsidR="00650C93">
        <w:rPr>
          <w:rFonts w:ascii="Times New Roman" w:eastAsia="Times New Roman" w:hAnsi="Times New Roman" w:cs="Times New Roman"/>
          <w:b/>
          <w:color w:val="000000"/>
        </w:rPr>
        <w:t xml:space="preserve">VOLANDO VIAJES COLOMBIA SAS </w:t>
      </w:r>
      <w:r w:rsidR="000509C6">
        <w:rPr>
          <w:rFonts w:ascii="Times New Roman" w:eastAsia="Times New Roman" w:hAnsi="Times New Roman" w:cs="Times New Roman"/>
          <w:b/>
          <w:color w:val="000000"/>
        </w:rPr>
        <w:t xml:space="preserve">está </w:t>
      </w:r>
      <w:r w:rsidR="000509C6">
        <w:rPr>
          <w:rFonts w:ascii="Times New Roman" w:eastAsia="Times New Roman" w:hAnsi="Times New Roman" w:cs="Times New Roman"/>
          <w:b/>
          <w:color w:val="000000"/>
        </w:rPr>
        <w:t>sujeta al régimen de responsabilidad que establece la Ley 300 de 1996, Decreto 1101 del 2006, Decreto 1074 de 2015 y Ley 1558 del 2012.</w:t>
      </w:r>
    </w:p>
    <w:p w:rsidR="00FC2814" w:rsidRDefault="00FC2814">
      <w:pPr>
        <w:pBdr>
          <w:top w:val="nil"/>
          <w:left w:val="nil"/>
          <w:bottom w:val="nil"/>
          <w:right w:val="nil"/>
          <w:between w:val="nil"/>
        </w:pBdr>
        <w:rPr>
          <w:color w:val="000000"/>
        </w:rPr>
      </w:pPr>
    </w:p>
    <w:p w:rsidR="00FC2814" w:rsidRDefault="00FC2814"/>
    <w:sectPr w:rsidR="00FC2814">
      <w:headerReference w:type="even" r:id="rId9"/>
      <w:headerReference w:type="default" r:id="rId10"/>
      <w:footerReference w:type="default" r:id="rId11"/>
      <w:headerReference w:type="first" r:id="rId12"/>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9C6" w:rsidRDefault="000509C6">
      <w:pPr>
        <w:spacing w:after="0" w:line="240" w:lineRule="auto"/>
      </w:pPr>
      <w:r>
        <w:separator/>
      </w:r>
    </w:p>
  </w:endnote>
  <w:endnote w:type="continuationSeparator" w:id="0">
    <w:p w:rsidR="000509C6" w:rsidRDefault="0005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14" w:rsidRDefault="000509C6">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9C6" w:rsidRDefault="000509C6">
      <w:pPr>
        <w:spacing w:after="0" w:line="240" w:lineRule="auto"/>
      </w:pPr>
      <w:r>
        <w:separator/>
      </w:r>
    </w:p>
  </w:footnote>
  <w:footnote w:type="continuationSeparator" w:id="0">
    <w:p w:rsidR="000509C6" w:rsidRDefault="0005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14" w:rsidRDefault="000509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14" w:rsidRDefault="000509C6">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14" w:rsidRDefault="000509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7D0"/>
    <w:multiLevelType w:val="multilevel"/>
    <w:tmpl w:val="788AE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E401E"/>
    <w:multiLevelType w:val="multilevel"/>
    <w:tmpl w:val="5DE21E80"/>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 w15:restartNumberingAfterBreak="0">
    <w:nsid w:val="09ED0398"/>
    <w:multiLevelType w:val="multilevel"/>
    <w:tmpl w:val="29A621F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AF6D4A"/>
    <w:multiLevelType w:val="multilevel"/>
    <w:tmpl w:val="FC6A3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41374"/>
    <w:multiLevelType w:val="multilevel"/>
    <w:tmpl w:val="4154C61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40234A"/>
    <w:multiLevelType w:val="multilevel"/>
    <w:tmpl w:val="607C0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2E0198"/>
    <w:multiLevelType w:val="multilevel"/>
    <w:tmpl w:val="C212B10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9D5FE5"/>
    <w:multiLevelType w:val="multilevel"/>
    <w:tmpl w:val="24C4009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6C45E5"/>
    <w:multiLevelType w:val="multilevel"/>
    <w:tmpl w:val="4BA208A4"/>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9" w15:restartNumberingAfterBreak="0">
    <w:nsid w:val="78552B23"/>
    <w:multiLevelType w:val="multilevel"/>
    <w:tmpl w:val="722C9A3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8"/>
  </w:num>
  <w:num w:numId="3">
    <w:abstractNumId w:val="9"/>
  </w:num>
  <w:num w:numId="4">
    <w:abstractNumId w:val="2"/>
  </w:num>
  <w:num w:numId="5">
    <w:abstractNumId w:val="4"/>
  </w:num>
  <w:num w:numId="6">
    <w:abstractNumId w:val="7"/>
  </w:num>
  <w:num w:numId="7">
    <w:abstractNumId w:val="0"/>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14"/>
    <w:rsid w:val="000509C6"/>
    <w:rsid w:val="000B59B4"/>
    <w:rsid w:val="00246FE2"/>
    <w:rsid w:val="0032697C"/>
    <w:rsid w:val="00650C93"/>
    <w:rsid w:val="00781580"/>
    <w:rsid w:val="00CD7321"/>
    <w:rsid w:val="00CE5309"/>
    <w:rsid w:val="00FC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DFAD7D"/>
  <w15:docId w15:val="{16C0A1B0-333B-4CB5-B0F2-4FDEB22D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FHJAqNAoSpw0KOsX8PCtJczxQ==">CgMxLjAyCWguM3pueXNoNzgAciExU2JvSnZvTmgtRkprMmFKRGVmTVI1UUE3NTJKUjZwOUg=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15</cp:revision>
  <dcterms:created xsi:type="dcterms:W3CDTF">2025-01-28T20:49:00Z</dcterms:created>
  <dcterms:modified xsi:type="dcterms:W3CDTF">2025-06-06T20:34:00Z</dcterms:modified>
</cp:coreProperties>
</file>